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366" w:rsidRPr="00F775F5" w:rsidRDefault="00511366" w:rsidP="00511366">
      <w:pPr>
        <w:adjustRightInd w:val="0"/>
        <w:snapToGrid w:val="0"/>
        <w:rPr>
          <w:rFonts w:ascii="Times New Roman" w:hAnsi="Times New Roman" w:cs="Times New Roman"/>
          <w:sz w:val="24"/>
        </w:rPr>
      </w:pPr>
      <w:r w:rsidRPr="00F775F5"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10795</wp:posOffset>
            </wp:positionH>
            <wp:positionV relativeFrom="paragraph">
              <wp:posOffset>38735</wp:posOffset>
            </wp:positionV>
            <wp:extent cx="5274310" cy="7209790"/>
            <wp:effectExtent l="0" t="0" r="0" b="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rcRect l="2264" t="3235" r="6729" b="8800"/>
                    <a:stretch>
                      <a:fillRect/>
                    </a:stretch>
                  </pic:blipFill>
                  <pic:spPr>
                    <a:xfrm>
                      <a:off x="0" y="0"/>
                      <a:ext cx="5274000" cy="720978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775F5">
        <w:rPr>
          <w:rFonts w:ascii="Times New Roman" w:hAnsi="Times New Roman" w:cs="Times New Roman"/>
          <w:b/>
          <w:color w:val="0D0D0D"/>
          <w:sz w:val="24"/>
        </w:rPr>
        <w:t xml:space="preserve">Supplementary Figure </w:t>
      </w:r>
      <w:r w:rsidRPr="00F775F5">
        <w:rPr>
          <w:rFonts w:ascii="Times New Roman" w:eastAsia="宋体" w:hAnsi="Times New Roman" w:cs="Times New Roman"/>
          <w:b/>
          <w:color w:val="0D0D0D"/>
          <w:sz w:val="24"/>
        </w:rPr>
        <w:t>3</w:t>
      </w:r>
      <w:r>
        <w:rPr>
          <w:rFonts w:ascii="Times New Roman" w:eastAsia="宋体" w:hAnsi="Times New Roman" w:cs="Times New Roman"/>
          <w:b/>
          <w:color w:val="0D0D0D"/>
          <w:sz w:val="24"/>
        </w:rPr>
        <w:t xml:space="preserve">. </w:t>
      </w:r>
      <w:r w:rsidRPr="00F775F5">
        <w:rPr>
          <w:rFonts w:ascii="Times New Roman" w:eastAsia="宋体" w:hAnsi="Times New Roman" w:cs="Times New Roman"/>
          <w:color w:val="0D0D0D"/>
          <w:sz w:val="24"/>
        </w:rPr>
        <w:t>The most significant GO enrichment in the TCGA cohort. BP: biological process; CC: cellular component; MF: molecular function.</w:t>
      </w:r>
      <w:r>
        <w:rPr>
          <w:rFonts w:ascii="Times New Roman" w:eastAsia="宋体" w:hAnsi="Times New Roman" w:cs="Times New Roman"/>
          <w:color w:val="0D0D0D"/>
          <w:sz w:val="24"/>
        </w:rPr>
        <w:t xml:space="preserve"> </w:t>
      </w:r>
      <w:r w:rsidRPr="00F775F5">
        <w:rPr>
          <w:rFonts w:ascii="Times New Roman" w:eastAsia="宋体" w:hAnsi="Times New Roman" w:cs="Times New Roman"/>
          <w:color w:val="0D0D0D"/>
          <w:sz w:val="24"/>
        </w:rPr>
        <w:t>The most significant GO enrichment in the ICGC cohort. BP: biological process; CC: cellular component; MF: molecular function.</w:t>
      </w:r>
    </w:p>
    <w:p w:rsidR="00A76AAC" w:rsidRDefault="00A76AAC"/>
    <w:sectPr w:rsidR="00A76AA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>
    <w:useFELayout/>
  </w:compat>
  <w:rsids>
    <w:rsidRoot w:val="00511366"/>
    <w:rsid w:val="00511366"/>
    <w:rsid w:val="00A76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2022-10-23T07:18:00Z</dcterms:created>
  <dcterms:modified xsi:type="dcterms:W3CDTF">2022-10-23T07:18:00Z</dcterms:modified>
</cp:coreProperties>
</file>