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CC5" w:rsidRPr="005C14E1" w:rsidRDefault="00F03CC5" w:rsidP="00F03CC5">
      <w:pPr>
        <w:pStyle w:val="Body"/>
        <w:adjustRightInd w:val="0"/>
        <w:snapToGrid w:val="0"/>
        <w:spacing w:after="0" w:line="240" w:lineRule="auto"/>
        <w:rPr>
          <w:rFonts w:ascii="Times New Roman" w:hAnsi="Times New Roman" w:cs="Times New Roman"/>
          <w:bCs/>
          <w:color w:val="auto"/>
          <w:sz w:val="16"/>
          <w:szCs w:val="16"/>
        </w:rPr>
      </w:pPr>
      <w:r w:rsidRPr="005C14E1">
        <w:rPr>
          <w:rFonts w:ascii="Times New Roman" w:hAnsi="Times New Roman" w:cs="Times New Roman"/>
          <w:b/>
          <w:color w:val="auto"/>
          <w:sz w:val="16"/>
          <w:szCs w:val="16"/>
        </w:rPr>
        <w:t>Supplementary Materials</w:t>
      </w:r>
    </w:p>
    <w:p w:rsidR="00F03CC5" w:rsidRPr="005C14E1" w:rsidRDefault="00F03CC5" w:rsidP="00F03CC5">
      <w:pPr>
        <w:pStyle w:val="Body"/>
        <w:tabs>
          <w:tab w:val="left" w:pos="2755"/>
        </w:tabs>
        <w:adjustRightInd w:val="0"/>
        <w:snapToGrid w:val="0"/>
        <w:spacing w:after="0" w:line="240" w:lineRule="auto"/>
        <w:rPr>
          <w:rFonts w:ascii="Times New Roman" w:hAnsi="Times New Roman" w:cs="Times New Roman"/>
          <w:color w:val="auto"/>
          <w:sz w:val="16"/>
          <w:szCs w:val="16"/>
        </w:rPr>
      </w:pPr>
      <w:r w:rsidRPr="005C14E1">
        <w:rPr>
          <w:rFonts w:ascii="Times New Roman" w:hAnsi="Times New Roman" w:cs="Times New Roman"/>
          <w:b/>
          <w:color w:val="auto"/>
          <w:sz w:val="16"/>
          <w:szCs w:val="16"/>
        </w:rPr>
        <w:t xml:space="preserve">Suppl 4. </w:t>
      </w:r>
      <w:r w:rsidRPr="005C14E1">
        <w:rPr>
          <w:rFonts w:ascii="Times New Roman" w:hAnsi="Times New Roman" w:cs="Times New Roman"/>
          <w:b/>
          <w:bCs/>
          <w:iCs/>
          <w:color w:val="auto"/>
          <w:spacing w:val="2"/>
          <w:sz w:val="16"/>
          <w:szCs w:val="16"/>
        </w:rPr>
        <w:t xml:space="preserve">Analysis of changes in predictive accuracy of recurrence prediction model over clinical course. </w:t>
      </w:r>
      <w:r w:rsidRPr="005C14E1">
        <w:rPr>
          <w:rFonts w:ascii="Times New Roman" w:hAnsi="Times New Roman" w:cs="Times New Roman"/>
          <w:bCs/>
          <w:color w:val="auto"/>
          <w:sz w:val="16"/>
          <w:szCs w:val="16"/>
        </w:rPr>
        <w:t xml:space="preserve">Time-dependent </w:t>
      </w:r>
      <w:r w:rsidRPr="005C14E1">
        <w:rPr>
          <w:rFonts w:ascii="Times New Roman" w:hAnsi="Times New Roman" w:cs="Times New Roman"/>
          <w:color w:val="auto"/>
          <w:sz w:val="16"/>
          <w:szCs w:val="16"/>
        </w:rPr>
        <w:t>Receiver operating characteristic</w:t>
      </w:r>
      <w:r w:rsidRPr="005C14E1">
        <w:rPr>
          <w:rFonts w:ascii="Times New Roman" w:hAnsi="Times New Roman" w:cs="Times New Roman"/>
          <w:bCs/>
          <w:color w:val="auto"/>
          <w:sz w:val="16"/>
          <w:szCs w:val="16"/>
        </w:rPr>
        <w:t xml:space="preserve"> curve</w:t>
      </w:r>
      <w:r w:rsidRPr="005C14E1">
        <w:rPr>
          <w:rFonts w:ascii="Times New Roman" w:hAnsi="Times New Roman" w:cs="Times New Roman"/>
          <w:color w:val="auto"/>
          <w:sz w:val="16"/>
          <w:szCs w:val="16"/>
          <w:shd w:val="clear" w:color="auto" w:fill="FFFFFF"/>
        </w:rPr>
        <w:t xml:space="preserve"> depicting the </w:t>
      </w:r>
      <w:r w:rsidRPr="005C14E1">
        <w:rPr>
          <w:rFonts w:ascii="Times New Roman" w:hAnsi="Times New Roman" w:cs="Times New Roman"/>
          <w:bCs/>
          <w:color w:val="auto"/>
          <w:sz w:val="16"/>
          <w:szCs w:val="16"/>
        </w:rPr>
        <w:t>time-dependent AUC values</w:t>
      </w:r>
      <w:r w:rsidRPr="005C14E1">
        <w:rPr>
          <w:rFonts w:ascii="Times New Roman" w:hAnsi="Times New Roman" w:cs="Times New Roman"/>
          <w:color w:val="auto"/>
          <w:sz w:val="16"/>
          <w:szCs w:val="16"/>
          <w:shd w:val="clear" w:color="auto" w:fill="FFFFFF"/>
        </w:rPr>
        <w:t xml:space="preserve"> of the recurrence prediction model in METABRIC HR+HER2- cohort, </w:t>
      </w:r>
      <w:r w:rsidRPr="005C14E1">
        <w:rPr>
          <w:rFonts w:ascii="Times New Roman" w:hAnsi="Times New Roman" w:cs="Times New Roman"/>
          <w:color w:val="auto"/>
          <w:sz w:val="16"/>
          <w:szCs w:val="16"/>
        </w:rPr>
        <w:t xml:space="preserve">TCGA </w:t>
      </w:r>
      <w:r w:rsidRPr="005C14E1">
        <w:rPr>
          <w:rFonts w:ascii="Times New Roman" w:hAnsi="Times New Roman" w:cs="Times New Roman"/>
          <w:color w:val="auto"/>
          <w:sz w:val="16"/>
          <w:szCs w:val="16"/>
          <w:shd w:val="clear" w:color="auto" w:fill="FFFFFF"/>
        </w:rPr>
        <w:t>HR+HER2- cohort</w:t>
      </w:r>
      <w:r w:rsidRPr="005C14E1">
        <w:rPr>
          <w:rFonts w:ascii="Times New Roman" w:hAnsi="Times New Roman" w:cs="Times New Roman"/>
          <w:color w:val="auto"/>
          <w:sz w:val="16"/>
          <w:szCs w:val="16"/>
        </w:rPr>
        <w:t>, GSE199135, GSE9195, GSE6532, and GSE21653 are shown</w:t>
      </w:r>
      <w:r w:rsidRPr="005C14E1">
        <w:rPr>
          <w:rFonts w:ascii="Times New Roman" w:hAnsi="Times New Roman" w:cs="Times New Roman"/>
          <w:color w:val="auto"/>
          <w:sz w:val="16"/>
          <w:szCs w:val="16"/>
          <w:shd w:val="clear" w:color="auto" w:fill="FFFFFF"/>
        </w:rPr>
        <w:t xml:space="preserve">. </w:t>
      </w:r>
      <w:r w:rsidRPr="005C14E1">
        <w:rPr>
          <w:rFonts w:ascii="Times New Roman" w:hAnsi="Times New Roman" w:cs="Times New Roman"/>
          <w:color w:val="auto"/>
          <w:sz w:val="16"/>
          <w:szCs w:val="16"/>
        </w:rPr>
        <w:t>AUC, area under curve; METABRIC, Molecular Taxonomy of Breast Cancer International Consortium; HR+, hormone receptor positive; HER2, human epidermal growth receptor 2; TCGA, The Cancer Genome Atlas.</w:t>
      </w:r>
    </w:p>
    <w:p w:rsidR="00F03CC5" w:rsidRPr="005C14E1" w:rsidRDefault="00F03CC5" w:rsidP="00F03CC5">
      <w:pPr>
        <w:pStyle w:val="Body"/>
        <w:tabs>
          <w:tab w:val="left" w:pos="2755"/>
        </w:tabs>
        <w:spacing w:after="0" w:line="240" w:lineRule="auto"/>
        <w:contextualSpacing/>
        <w:jc w:val="center"/>
        <w:rPr>
          <w:rFonts w:ascii="Times New Roman" w:eastAsia="Yu Mincho" w:hAnsi="Times New Roman" w:cs="Times New Roman"/>
          <w:color w:val="auto"/>
          <w:sz w:val="16"/>
          <w:szCs w:val="16"/>
        </w:rPr>
      </w:pPr>
      <w:r w:rsidRPr="005C14E1">
        <w:rPr>
          <w:rFonts w:ascii="Times New Roman" w:hAnsi="Times New Roman" w:cs="Times New Roman"/>
          <w:noProof/>
          <w:color w:val="auto"/>
          <w:sz w:val="16"/>
          <w:szCs w:val="16"/>
          <w:lang w:eastAsia="en-US"/>
        </w:rPr>
        <w:lastRenderedPageBreak/>
        <w:drawing>
          <wp:inline distT="0" distB="0" distL="0" distR="0">
            <wp:extent cx="4578350" cy="6106755"/>
            <wp:effectExtent l="0" t="0" r="0" b="8890"/>
            <wp:docPr id="3" name="図 3" descr="E:\マイドライブ\熊本市民病院\Project\predictive_factor\Fig\tif\Fig.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マイドライブ\熊本市民病院\Project\predictive_factor\Fig\tif\Fig.3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805" cy="6123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040" w:rsidRDefault="00943040"/>
    <w:sectPr w:rsidR="00943040" w:rsidSect="002B0EB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30"/>
  <w:defaultTabStop w:val="720"/>
  <w:characterSpacingControl w:val="doNotCompress"/>
  <w:compat>
    <w:useFELayout/>
  </w:compat>
  <w:rsids>
    <w:rsidRoot w:val="00F03CC5"/>
    <w:rsid w:val="00943040"/>
    <w:rsid w:val="00F03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rsid w:val="00F03CC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ja-JP"/>
    </w:rPr>
  </w:style>
  <w:style w:type="character" w:customStyle="1" w:styleId="BodyChar">
    <w:name w:val="Body Char"/>
    <w:basedOn w:val="DefaultParagraphFont"/>
    <w:link w:val="Body"/>
    <w:rsid w:val="00F03CC5"/>
    <w:rPr>
      <w:rFonts w:ascii="Calibri" w:eastAsia="Calibri" w:hAnsi="Calibri" w:cs="Calibri"/>
      <w:color w:val="000000"/>
      <w:u w:color="000000"/>
      <w:bdr w:val="nil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2023-09-15T04:00:00Z</dcterms:created>
  <dcterms:modified xsi:type="dcterms:W3CDTF">2023-09-15T04:00:00Z</dcterms:modified>
</cp:coreProperties>
</file>