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93" w:rsidRPr="00241EAA" w:rsidRDefault="00837893" w:rsidP="00837893">
      <w:pPr>
        <w:adjustRightInd w:val="0"/>
        <w:spacing w:after="0"/>
      </w:pPr>
    </w:p>
    <w:p w:rsidR="00837893" w:rsidRPr="00241EAA" w:rsidRDefault="00837893" w:rsidP="00837893">
      <w:pPr>
        <w:pStyle w:val="NoSpacing"/>
        <w:adjustRightInd w:val="0"/>
        <w:snapToGrid w:val="0"/>
        <w:jc w:val="left"/>
        <w:rPr>
          <w:sz w:val="24"/>
          <w:szCs w:val="24"/>
        </w:rPr>
      </w:pPr>
      <w:r>
        <w:rPr>
          <w:sz w:val="24"/>
          <w:szCs w:val="24"/>
        </w:rPr>
        <w:t xml:space="preserve">Suppl </w:t>
      </w:r>
      <w:r w:rsidRPr="00241EAA">
        <w:rPr>
          <w:sz w:val="24"/>
          <w:szCs w:val="24"/>
        </w:rPr>
        <w:t>2 The definition of LI-RADS v2018 imaging features</w:t>
      </w:r>
    </w:p>
    <w:tbl>
      <w:tblPr>
        <w:tblW w:w="8472" w:type="dxa"/>
        <w:tblLook w:val="04A0"/>
      </w:tblPr>
      <w:tblGrid>
        <w:gridCol w:w="2003"/>
        <w:gridCol w:w="6469"/>
      </w:tblGrid>
      <w:tr w:rsidR="00837893" w:rsidRPr="00241EAA" w:rsidTr="00F40C0B">
        <w:trPr>
          <w:trHeight w:val="330"/>
        </w:trPr>
        <w:tc>
          <w:tcPr>
            <w:tcW w:w="2003" w:type="dxa"/>
            <w:tcBorders>
              <w:top w:val="single" w:sz="12" w:space="0" w:color="auto"/>
              <w:left w:val="nil"/>
              <w:bottom w:val="single" w:sz="12" w:space="0" w:color="auto"/>
              <w:right w:val="nil"/>
            </w:tcBorders>
            <w:shd w:val="clear" w:color="auto" w:fill="auto"/>
            <w:noWrap/>
            <w:vAlign w:val="bottom"/>
            <w:hideMark/>
          </w:tcPr>
          <w:p w:rsidR="00837893" w:rsidRPr="0030273A" w:rsidRDefault="00837893" w:rsidP="00F40C0B">
            <w:pPr>
              <w:adjustRightInd w:val="0"/>
              <w:spacing w:after="0"/>
              <w:rPr>
                <w:rFonts w:eastAsia="DengXian"/>
                <w:b/>
                <w:bCs/>
                <w:color w:val="000000"/>
              </w:rPr>
            </w:pPr>
            <w:r w:rsidRPr="0030273A">
              <w:rPr>
                <w:rFonts w:eastAsia="DengXian"/>
                <w:b/>
                <w:bCs/>
                <w:color w:val="000000"/>
              </w:rPr>
              <w:t>LI-RADS features</w:t>
            </w:r>
          </w:p>
        </w:tc>
        <w:tc>
          <w:tcPr>
            <w:tcW w:w="6469" w:type="dxa"/>
            <w:tcBorders>
              <w:top w:val="single" w:sz="12" w:space="0" w:color="auto"/>
              <w:left w:val="nil"/>
              <w:bottom w:val="single" w:sz="12" w:space="0" w:color="auto"/>
              <w:right w:val="nil"/>
            </w:tcBorders>
            <w:shd w:val="clear" w:color="auto" w:fill="auto"/>
            <w:noWrap/>
            <w:vAlign w:val="bottom"/>
            <w:hideMark/>
          </w:tcPr>
          <w:p w:rsidR="00837893" w:rsidRPr="0030273A" w:rsidRDefault="00837893" w:rsidP="00F40C0B">
            <w:pPr>
              <w:adjustRightInd w:val="0"/>
              <w:spacing w:after="0"/>
              <w:rPr>
                <w:rFonts w:eastAsia="DengXian"/>
                <w:b/>
                <w:bCs/>
                <w:color w:val="000000"/>
              </w:rPr>
            </w:pPr>
            <w:r w:rsidRPr="0030273A">
              <w:rPr>
                <w:rFonts w:eastAsia="DengXian"/>
                <w:b/>
                <w:bCs/>
                <w:color w:val="000000"/>
              </w:rPr>
              <w:t>Definition</w:t>
            </w:r>
          </w:p>
        </w:tc>
      </w:tr>
      <w:tr w:rsidR="00837893" w:rsidRPr="00241EAA" w:rsidTr="00F40C0B">
        <w:trPr>
          <w:trHeight w:val="734"/>
        </w:trPr>
        <w:tc>
          <w:tcPr>
            <w:tcW w:w="2003" w:type="dxa"/>
            <w:tcBorders>
              <w:top w:val="single" w:sz="12" w:space="0" w:color="auto"/>
              <w:left w:val="nil"/>
              <w:bottom w:val="single" w:sz="4" w:space="0" w:color="auto"/>
              <w:right w:val="nil"/>
            </w:tcBorders>
            <w:shd w:val="clear" w:color="auto" w:fill="auto"/>
            <w:noWrap/>
            <w:vAlign w:val="center"/>
            <w:hideMark/>
          </w:tcPr>
          <w:p w:rsidR="00837893" w:rsidRPr="0030273A" w:rsidRDefault="00837893" w:rsidP="00F40C0B">
            <w:pPr>
              <w:adjustRightInd w:val="0"/>
              <w:spacing w:after="0"/>
              <w:rPr>
                <w:rFonts w:eastAsia="DengXian"/>
                <w:color w:val="000000"/>
              </w:rPr>
            </w:pPr>
            <w:r w:rsidRPr="0030273A">
              <w:rPr>
                <w:rFonts w:eastAsia="DengXian"/>
                <w:color w:val="000000"/>
              </w:rPr>
              <w:t>MRI Tumor diameter</w:t>
            </w:r>
          </w:p>
        </w:tc>
        <w:tc>
          <w:tcPr>
            <w:tcW w:w="6469" w:type="dxa"/>
            <w:tcBorders>
              <w:top w:val="single" w:sz="12" w:space="0" w:color="auto"/>
              <w:left w:val="nil"/>
              <w:bottom w:val="single" w:sz="4" w:space="0" w:color="auto"/>
              <w:right w:val="nil"/>
            </w:tcBorders>
            <w:shd w:val="clear" w:color="auto" w:fill="auto"/>
            <w:noWrap/>
            <w:vAlign w:val="center"/>
            <w:hideMark/>
          </w:tcPr>
          <w:p w:rsidR="00837893" w:rsidRPr="0030273A" w:rsidRDefault="00837893" w:rsidP="00F40C0B">
            <w:pPr>
              <w:adjustRightInd w:val="0"/>
              <w:spacing w:after="0"/>
              <w:rPr>
                <w:rFonts w:eastAsia="DengXian"/>
                <w:color w:val="000000"/>
              </w:rPr>
            </w:pPr>
            <w:r w:rsidRPr="0030273A">
              <w:rPr>
                <w:rFonts w:eastAsia="DengXian"/>
                <w:color w:val="000000"/>
              </w:rPr>
              <w:t>Largest outer-edge-to-outer-edge dimension of an observation: Include “capsule” in measurement; Pick phase, sequence, plane in which margins are clearest; Do not measure in arterial phase or DWI if margins are clearly visible on different phase.</w:t>
            </w:r>
          </w:p>
        </w:tc>
      </w:tr>
      <w:tr w:rsidR="00837893" w:rsidRPr="00241EAA" w:rsidTr="00F40C0B">
        <w:trPr>
          <w:trHeight w:val="977"/>
        </w:trPr>
        <w:tc>
          <w:tcPr>
            <w:tcW w:w="2003" w:type="dxa"/>
            <w:tcBorders>
              <w:top w:val="single" w:sz="4" w:space="0" w:color="auto"/>
              <w:left w:val="nil"/>
              <w:bottom w:val="single" w:sz="4" w:space="0" w:color="auto"/>
              <w:right w:val="nil"/>
            </w:tcBorders>
            <w:shd w:val="clear" w:color="auto" w:fill="auto"/>
            <w:noWrap/>
            <w:vAlign w:val="center"/>
            <w:hideMark/>
          </w:tcPr>
          <w:p w:rsidR="00837893" w:rsidRPr="0030273A" w:rsidRDefault="00837893" w:rsidP="00F40C0B">
            <w:pPr>
              <w:adjustRightInd w:val="0"/>
              <w:spacing w:after="0"/>
              <w:rPr>
                <w:rFonts w:eastAsia="DengXian"/>
                <w:color w:val="000000"/>
              </w:rPr>
            </w:pPr>
            <w:r w:rsidRPr="0030273A">
              <w:rPr>
                <w:rFonts w:eastAsia="DengXian"/>
                <w:color w:val="000000"/>
              </w:rPr>
              <w:t xml:space="preserve">Radiological capsule </w:t>
            </w:r>
          </w:p>
          <w:p w:rsidR="00837893" w:rsidRPr="0030273A" w:rsidRDefault="00837893" w:rsidP="00F40C0B">
            <w:pPr>
              <w:adjustRightInd w:val="0"/>
              <w:spacing w:after="0"/>
              <w:rPr>
                <w:rFonts w:eastAsia="DengXian"/>
                <w:color w:val="000000"/>
              </w:rPr>
            </w:pPr>
            <w:r w:rsidRPr="0030273A">
              <w:rPr>
                <w:rFonts w:eastAsia="DengXian"/>
                <w:color w:val="000000"/>
              </w:rPr>
              <w:t>enhancement</w:t>
            </w:r>
          </w:p>
        </w:tc>
        <w:tc>
          <w:tcPr>
            <w:tcW w:w="6469" w:type="dxa"/>
            <w:tcBorders>
              <w:top w:val="single" w:sz="4" w:space="0" w:color="auto"/>
              <w:left w:val="nil"/>
              <w:bottom w:val="single" w:sz="4" w:space="0" w:color="auto"/>
              <w:right w:val="nil"/>
            </w:tcBorders>
            <w:shd w:val="clear" w:color="auto" w:fill="auto"/>
            <w:noWrap/>
            <w:vAlign w:val="center"/>
            <w:hideMark/>
          </w:tcPr>
          <w:p w:rsidR="00837893" w:rsidRPr="0030273A" w:rsidRDefault="00837893" w:rsidP="00F40C0B">
            <w:pPr>
              <w:adjustRightInd w:val="0"/>
              <w:spacing w:after="0"/>
              <w:rPr>
                <w:rFonts w:eastAsia="DengXian"/>
                <w:color w:val="000000"/>
              </w:rPr>
            </w:pPr>
            <w:r w:rsidRPr="0030273A">
              <w:rPr>
                <w:rFonts w:eastAsia="DengXian"/>
                <w:color w:val="000000"/>
              </w:rPr>
              <w:t>Enhancing “capsule”: Smooth, uniform, sharp border around most(incomplete) or all (complete) of an observation, unequivocally thicker or more conspicuous than fibrotic tissue around background nodules, and visible as enhancing rim in PVP, DP, or TP; Absent (Nonenhancing “capsule”): Capsule appearance not visible as an enhancing rim.</w:t>
            </w:r>
          </w:p>
        </w:tc>
      </w:tr>
      <w:tr w:rsidR="00837893" w:rsidRPr="00241EAA" w:rsidTr="00F40C0B">
        <w:trPr>
          <w:trHeight w:val="566"/>
        </w:trPr>
        <w:tc>
          <w:tcPr>
            <w:tcW w:w="2003" w:type="dxa"/>
            <w:tcBorders>
              <w:top w:val="single" w:sz="4" w:space="0" w:color="auto"/>
              <w:left w:val="nil"/>
              <w:bottom w:val="single" w:sz="4" w:space="0" w:color="auto"/>
              <w:right w:val="nil"/>
            </w:tcBorders>
            <w:shd w:val="clear" w:color="auto" w:fill="auto"/>
            <w:noWrap/>
            <w:vAlign w:val="center"/>
            <w:hideMark/>
          </w:tcPr>
          <w:p w:rsidR="00837893" w:rsidRPr="0030273A" w:rsidRDefault="00837893" w:rsidP="00F40C0B">
            <w:pPr>
              <w:adjustRightInd w:val="0"/>
              <w:spacing w:after="0"/>
              <w:rPr>
                <w:rFonts w:eastAsia="DengXian"/>
                <w:color w:val="000000"/>
              </w:rPr>
            </w:pPr>
            <w:r w:rsidRPr="0030273A">
              <w:rPr>
                <w:rFonts w:eastAsia="DengXian"/>
                <w:color w:val="000000"/>
              </w:rPr>
              <w:t>Restricted diffusion</w:t>
            </w:r>
          </w:p>
        </w:tc>
        <w:tc>
          <w:tcPr>
            <w:tcW w:w="6469" w:type="dxa"/>
            <w:tcBorders>
              <w:top w:val="single" w:sz="4" w:space="0" w:color="auto"/>
              <w:left w:val="nil"/>
              <w:bottom w:val="single" w:sz="4" w:space="0" w:color="auto"/>
              <w:right w:val="nil"/>
            </w:tcBorders>
            <w:shd w:val="clear" w:color="auto" w:fill="auto"/>
            <w:noWrap/>
            <w:vAlign w:val="center"/>
            <w:hideMark/>
          </w:tcPr>
          <w:p w:rsidR="00837893" w:rsidRPr="0030273A" w:rsidRDefault="00837893" w:rsidP="00F40C0B">
            <w:pPr>
              <w:adjustRightInd w:val="0"/>
              <w:spacing w:after="0"/>
              <w:rPr>
                <w:rFonts w:eastAsia="DengXian"/>
                <w:color w:val="000000"/>
              </w:rPr>
            </w:pPr>
            <w:r w:rsidRPr="0030273A">
              <w:rPr>
                <w:rFonts w:eastAsia="DengXian"/>
                <w:color w:val="000000"/>
              </w:rPr>
              <w:t>Intensity on DWI, not attributable solely to T2 shine-through, unequivocally higher than liver and/or ADC unequivocally lower than liver.</w:t>
            </w:r>
          </w:p>
        </w:tc>
      </w:tr>
      <w:tr w:rsidR="00837893" w:rsidRPr="00241EAA" w:rsidTr="00F40C0B">
        <w:trPr>
          <w:trHeight w:val="560"/>
        </w:trPr>
        <w:tc>
          <w:tcPr>
            <w:tcW w:w="2003" w:type="dxa"/>
            <w:tcBorders>
              <w:top w:val="single" w:sz="4" w:space="0" w:color="auto"/>
              <w:left w:val="nil"/>
              <w:bottom w:val="single" w:sz="4" w:space="0" w:color="auto"/>
              <w:right w:val="nil"/>
            </w:tcBorders>
            <w:shd w:val="clear" w:color="auto" w:fill="auto"/>
            <w:noWrap/>
            <w:vAlign w:val="center"/>
            <w:hideMark/>
          </w:tcPr>
          <w:p w:rsidR="00837893" w:rsidRPr="0030273A" w:rsidRDefault="00837893" w:rsidP="00F40C0B">
            <w:pPr>
              <w:adjustRightInd w:val="0"/>
              <w:spacing w:after="0"/>
              <w:rPr>
                <w:rFonts w:eastAsia="DengXian"/>
                <w:color w:val="000000"/>
              </w:rPr>
            </w:pPr>
            <w:r w:rsidRPr="0030273A">
              <w:rPr>
                <w:rFonts w:eastAsia="DengXian"/>
                <w:color w:val="000000"/>
              </w:rPr>
              <w:t xml:space="preserve">Nonrim APHE </w:t>
            </w:r>
          </w:p>
        </w:tc>
        <w:tc>
          <w:tcPr>
            <w:tcW w:w="6469" w:type="dxa"/>
            <w:tcBorders>
              <w:top w:val="single" w:sz="4" w:space="0" w:color="auto"/>
              <w:left w:val="nil"/>
              <w:bottom w:val="single" w:sz="4" w:space="0" w:color="auto"/>
              <w:right w:val="nil"/>
            </w:tcBorders>
            <w:shd w:val="clear" w:color="auto" w:fill="auto"/>
            <w:noWrap/>
            <w:vAlign w:val="center"/>
            <w:hideMark/>
          </w:tcPr>
          <w:p w:rsidR="00837893" w:rsidRPr="0030273A" w:rsidRDefault="00837893" w:rsidP="00F40C0B">
            <w:pPr>
              <w:adjustRightInd w:val="0"/>
              <w:spacing w:after="0"/>
              <w:rPr>
                <w:rFonts w:eastAsia="DengXian"/>
                <w:color w:val="000000"/>
              </w:rPr>
            </w:pPr>
            <w:r w:rsidRPr="0030273A">
              <w:rPr>
                <w:rFonts w:eastAsia="DengXian"/>
                <w:color w:val="000000"/>
              </w:rPr>
              <w:t>Nonrim-like enhancement in arterial phase unequivocally greater in whole or in part than liver. Enhancing part must be higher in attenuation or intensity than liver in arterial phase.</w:t>
            </w:r>
          </w:p>
        </w:tc>
      </w:tr>
      <w:tr w:rsidR="00837893" w:rsidRPr="00241EAA" w:rsidTr="00F40C0B">
        <w:trPr>
          <w:trHeight w:val="554"/>
        </w:trPr>
        <w:tc>
          <w:tcPr>
            <w:tcW w:w="2003" w:type="dxa"/>
            <w:tcBorders>
              <w:top w:val="single" w:sz="4" w:space="0" w:color="auto"/>
              <w:left w:val="nil"/>
              <w:bottom w:val="single" w:sz="4" w:space="0" w:color="auto"/>
              <w:right w:val="nil"/>
            </w:tcBorders>
            <w:shd w:val="clear" w:color="auto" w:fill="auto"/>
            <w:noWrap/>
            <w:vAlign w:val="center"/>
            <w:hideMark/>
          </w:tcPr>
          <w:p w:rsidR="00837893" w:rsidRPr="0030273A" w:rsidRDefault="00837893" w:rsidP="00F40C0B">
            <w:pPr>
              <w:adjustRightInd w:val="0"/>
              <w:spacing w:after="0"/>
              <w:rPr>
                <w:rFonts w:eastAsia="DengXian"/>
                <w:color w:val="000000"/>
              </w:rPr>
            </w:pPr>
            <w:r w:rsidRPr="0030273A">
              <w:rPr>
                <w:rFonts w:eastAsia="DengXian"/>
                <w:color w:val="000000"/>
              </w:rPr>
              <w:t>Rim APHE</w:t>
            </w:r>
          </w:p>
        </w:tc>
        <w:tc>
          <w:tcPr>
            <w:tcW w:w="6469" w:type="dxa"/>
            <w:tcBorders>
              <w:top w:val="single" w:sz="4" w:space="0" w:color="auto"/>
              <w:left w:val="nil"/>
              <w:bottom w:val="single" w:sz="4" w:space="0" w:color="auto"/>
              <w:right w:val="nil"/>
            </w:tcBorders>
            <w:shd w:val="clear" w:color="auto" w:fill="auto"/>
            <w:noWrap/>
            <w:vAlign w:val="center"/>
            <w:hideMark/>
          </w:tcPr>
          <w:p w:rsidR="00837893" w:rsidRPr="0030273A" w:rsidRDefault="00837893" w:rsidP="00F40C0B">
            <w:pPr>
              <w:adjustRightInd w:val="0"/>
              <w:spacing w:after="0"/>
              <w:rPr>
                <w:rFonts w:eastAsia="DengXian"/>
                <w:color w:val="000000"/>
              </w:rPr>
            </w:pPr>
            <w:r w:rsidRPr="0030273A">
              <w:rPr>
                <w:rFonts w:eastAsia="DengXian"/>
                <w:color w:val="000000"/>
              </w:rPr>
              <w:t>Spatially defined subtype of APHE in which arterial phase enhancement is most pronounced in observation periphery.</w:t>
            </w:r>
          </w:p>
        </w:tc>
      </w:tr>
      <w:tr w:rsidR="00837893" w:rsidRPr="00241EAA" w:rsidTr="00F40C0B">
        <w:trPr>
          <w:trHeight w:val="832"/>
        </w:trPr>
        <w:tc>
          <w:tcPr>
            <w:tcW w:w="2003" w:type="dxa"/>
            <w:tcBorders>
              <w:top w:val="single" w:sz="4" w:space="0" w:color="auto"/>
              <w:left w:val="nil"/>
              <w:bottom w:val="single" w:sz="4" w:space="0" w:color="auto"/>
              <w:right w:val="nil"/>
            </w:tcBorders>
            <w:shd w:val="clear" w:color="auto" w:fill="auto"/>
            <w:noWrap/>
            <w:vAlign w:val="center"/>
            <w:hideMark/>
          </w:tcPr>
          <w:p w:rsidR="00837893" w:rsidRPr="0030273A" w:rsidRDefault="00837893" w:rsidP="00F40C0B">
            <w:pPr>
              <w:adjustRightInd w:val="0"/>
              <w:spacing w:after="0"/>
              <w:rPr>
                <w:rFonts w:eastAsia="DengXian"/>
                <w:color w:val="000000"/>
              </w:rPr>
            </w:pPr>
            <w:r w:rsidRPr="0030273A">
              <w:rPr>
                <w:rFonts w:eastAsia="DengXian"/>
                <w:color w:val="000000"/>
              </w:rPr>
              <w:t>Nonperipheral "washout"</w:t>
            </w:r>
          </w:p>
        </w:tc>
        <w:tc>
          <w:tcPr>
            <w:tcW w:w="6469" w:type="dxa"/>
            <w:tcBorders>
              <w:top w:val="single" w:sz="4" w:space="0" w:color="auto"/>
              <w:left w:val="nil"/>
              <w:bottom w:val="single" w:sz="4" w:space="0" w:color="auto"/>
              <w:right w:val="nil"/>
            </w:tcBorders>
            <w:shd w:val="clear" w:color="auto" w:fill="auto"/>
            <w:noWrap/>
            <w:vAlign w:val="center"/>
            <w:hideMark/>
          </w:tcPr>
          <w:p w:rsidR="00837893" w:rsidRPr="0030273A" w:rsidRDefault="00837893" w:rsidP="00F40C0B">
            <w:pPr>
              <w:adjustRightInd w:val="0"/>
              <w:spacing w:after="0"/>
              <w:rPr>
                <w:rFonts w:eastAsia="DengXian"/>
                <w:color w:val="000000"/>
              </w:rPr>
            </w:pPr>
            <w:r w:rsidRPr="0030273A">
              <w:rPr>
                <w:rFonts w:eastAsia="DengXian"/>
                <w:color w:val="000000"/>
              </w:rPr>
              <w:t>Nonperipheral visually assessed temporal reduction in enhancement in whole or in part relative to composite liver tissue from earlier to later phase resulting in hypoenhancement in the extracellular phase.</w:t>
            </w:r>
          </w:p>
        </w:tc>
      </w:tr>
      <w:tr w:rsidR="00837893" w:rsidRPr="00241EAA" w:rsidTr="00F40C0B">
        <w:trPr>
          <w:trHeight w:val="307"/>
        </w:trPr>
        <w:tc>
          <w:tcPr>
            <w:tcW w:w="2003" w:type="dxa"/>
            <w:tcBorders>
              <w:top w:val="single" w:sz="4" w:space="0" w:color="auto"/>
              <w:left w:val="nil"/>
              <w:bottom w:val="single" w:sz="4" w:space="0" w:color="auto"/>
              <w:right w:val="nil"/>
            </w:tcBorders>
            <w:shd w:val="clear" w:color="auto" w:fill="auto"/>
            <w:noWrap/>
            <w:vAlign w:val="center"/>
          </w:tcPr>
          <w:p w:rsidR="00837893" w:rsidRPr="0030273A" w:rsidRDefault="00837893" w:rsidP="00F40C0B">
            <w:pPr>
              <w:adjustRightInd w:val="0"/>
              <w:spacing w:after="0"/>
              <w:rPr>
                <w:rFonts w:eastAsia="DengXian"/>
                <w:color w:val="000000"/>
              </w:rPr>
            </w:pPr>
            <w:r w:rsidRPr="0030273A">
              <w:rPr>
                <w:rFonts w:eastAsia="DengXian"/>
                <w:color w:val="000000"/>
              </w:rPr>
              <w:t>Tumor number</w:t>
            </w:r>
          </w:p>
        </w:tc>
        <w:tc>
          <w:tcPr>
            <w:tcW w:w="6469" w:type="dxa"/>
            <w:tcBorders>
              <w:top w:val="single" w:sz="4" w:space="0" w:color="auto"/>
              <w:left w:val="nil"/>
              <w:bottom w:val="single" w:sz="4" w:space="0" w:color="auto"/>
              <w:right w:val="nil"/>
            </w:tcBorders>
            <w:shd w:val="clear" w:color="auto" w:fill="auto"/>
            <w:noWrap/>
            <w:vAlign w:val="center"/>
          </w:tcPr>
          <w:p w:rsidR="00837893" w:rsidRPr="0030273A" w:rsidRDefault="00837893" w:rsidP="00F40C0B">
            <w:pPr>
              <w:adjustRightInd w:val="0"/>
              <w:spacing w:after="0"/>
              <w:rPr>
                <w:rFonts w:eastAsia="DengXian"/>
                <w:color w:val="000000"/>
              </w:rPr>
            </w:pPr>
            <w:r w:rsidRPr="0030273A">
              <w:rPr>
                <w:rFonts w:eastAsia="DengXian"/>
                <w:color w:val="000000"/>
              </w:rPr>
              <w:t>one focus is solitary and more than one is multiple</w:t>
            </w:r>
          </w:p>
        </w:tc>
      </w:tr>
      <w:tr w:rsidR="00837893" w:rsidRPr="00241EAA" w:rsidTr="00F40C0B">
        <w:trPr>
          <w:trHeight w:val="552"/>
        </w:trPr>
        <w:tc>
          <w:tcPr>
            <w:tcW w:w="2003" w:type="dxa"/>
            <w:tcBorders>
              <w:top w:val="single" w:sz="4" w:space="0" w:color="auto"/>
              <w:left w:val="nil"/>
              <w:bottom w:val="single" w:sz="4" w:space="0" w:color="auto"/>
              <w:right w:val="nil"/>
            </w:tcBorders>
            <w:shd w:val="clear" w:color="auto" w:fill="auto"/>
            <w:noWrap/>
            <w:vAlign w:val="center"/>
          </w:tcPr>
          <w:p w:rsidR="00837893" w:rsidRPr="0030273A" w:rsidRDefault="00837893" w:rsidP="00F40C0B">
            <w:pPr>
              <w:adjustRightInd w:val="0"/>
              <w:spacing w:after="0"/>
              <w:rPr>
                <w:rFonts w:eastAsia="DengXian"/>
                <w:color w:val="000000"/>
              </w:rPr>
            </w:pPr>
            <w:r w:rsidRPr="0030273A">
              <w:rPr>
                <w:rFonts w:eastAsia="DengXian"/>
                <w:color w:val="000000"/>
              </w:rPr>
              <w:t>Shape</w:t>
            </w:r>
          </w:p>
        </w:tc>
        <w:tc>
          <w:tcPr>
            <w:tcW w:w="6469" w:type="dxa"/>
            <w:tcBorders>
              <w:top w:val="single" w:sz="4" w:space="0" w:color="auto"/>
              <w:left w:val="nil"/>
              <w:bottom w:val="single" w:sz="4" w:space="0" w:color="auto"/>
              <w:right w:val="nil"/>
            </w:tcBorders>
            <w:shd w:val="clear" w:color="auto" w:fill="auto"/>
            <w:noWrap/>
            <w:vAlign w:val="center"/>
          </w:tcPr>
          <w:p w:rsidR="00837893" w:rsidRPr="0030273A" w:rsidRDefault="00837893" w:rsidP="00F40C0B">
            <w:pPr>
              <w:adjustRightInd w:val="0"/>
              <w:spacing w:after="0"/>
              <w:rPr>
                <w:rFonts w:eastAsia="DengXian"/>
                <w:color w:val="000000"/>
              </w:rPr>
            </w:pPr>
            <w:r w:rsidRPr="0030273A">
              <w:rPr>
                <w:rFonts w:eastAsia="DengXian"/>
                <w:color w:val="000000"/>
              </w:rPr>
              <w:t>circular or oval like shape was defined as regular, while lobulated, burr like and other irregular shape were defined as irregular;</w:t>
            </w:r>
          </w:p>
        </w:tc>
      </w:tr>
      <w:tr w:rsidR="00837893" w:rsidRPr="00241EAA" w:rsidTr="00F40C0B">
        <w:trPr>
          <w:trHeight w:val="552"/>
        </w:trPr>
        <w:tc>
          <w:tcPr>
            <w:tcW w:w="2003" w:type="dxa"/>
            <w:tcBorders>
              <w:top w:val="single" w:sz="4" w:space="0" w:color="auto"/>
              <w:left w:val="nil"/>
              <w:bottom w:val="single" w:sz="4" w:space="0" w:color="auto"/>
              <w:right w:val="nil"/>
            </w:tcBorders>
            <w:shd w:val="clear" w:color="auto" w:fill="auto"/>
            <w:noWrap/>
            <w:vAlign w:val="center"/>
          </w:tcPr>
          <w:p w:rsidR="00837893" w:rsidRPr="0030273A" w:rsidRDefault="00837893" w:rsidP="00F40C0B">
            <w:pPr>
              <w:adjustRightInd w:val="0"/>
              <w:spacing w:after="0"/>
              <w:rPr>
                <w:rFonts w:eastAsia="DengXian"/>
                <w:color w:val="000000"/>
              </w:rPr>
            </w:pPr>
            <w:r w:rsidRPr="0030273A">
              <w:rPr>
                <w:rFonts w:eastAsia="DengXian"/>
                <w:color w:val="000000"/>
              </w:rPr>
              <w:t>Margin:</w:t>
            </w:r>
          </w:p>
        </w:tc>
        <w:tc>
          <w:tcPr>
            <w:tcW w:w="6469" w:type="dxa"/>
            <w:tcBorders>
              <w:top w:val="single" w:sz="4" w:space="0" w:color="auto"/>
              <w:left w:val="nil"/>
              <w:bottom w:val="single" w:sz="4" w:space="0" w:color="auto"/>
              <w:right w:val="nil"/>
            </w:tcBorders>
            <w:shd w:val="clear" w:color="auto" w:fill="auto"/>
            <w:noWrap/>
            <w:vAlign w:val="center"/>
          </w:tcPr>
          <w:p w:rsidR="00837893" w:rsidRPr="0030273A" w:rsidRDefault="00837893" w:rsidP="00F40C0B">
            <w:pPr>
              <w:adjustRightInd w:val="0"/>
              <w:spacing w:after="0"/>
              <w:rPr>
                <w:rFonts w:eastAsia="DengXian"/>
                <w:color w:val="000000"/>
              </w:rPr>
            </w:pPr>
            <w:r w:rsidRPr="0030273A">
              <w:rPr>
                <w:rFonts w:eastAsia="DengXian"/>
                <w:color w:val="000000"/>
              </w:rPr>
              <w:t>smooth: nodular tumor with smooth boundary. Non-smooth: non-nodular tumor with irregular edge extending to the surrounding liver parenchyma</w:t>
            </w:r>
          </w:p>
        </w:tc>
      </w:tr>
      <w:tr w:rsidR="00837893" w:rsidRPr="00241EAA" w:rsidTr="00F40C0B">
        <w:trPr>
          <w:trHeight w:val="552"/>
        </w:trPr>
        <w:tc>
          <w:tcPr>
            <w:tcW w:w="2003" w:type="dxa"/>
            <w:tcBorders>
              <w:top w:val="single" w:sz="4" w:space="0" w:color="auto"/>
              <w:left w:val="nil"/>
              <w:bottom w:val="single" w:sz="4" w:space="0" w:color="auto"/>
              <w:right w:val="nil"/>
            </w:tcBorders>
            <w:shd w:val="clear" w:color="auto" w:fill="auto"/>
            <w:noWrap/>
            <w:vAlign w:val="center"/>
          </w:tcPr>
          <w:p w:rsidR="00837893" w:rsidRPr="0030273A" w:rsidRDefault="00837893" w:rsidP="00F40C0B">
            <w:pPr>
              <w:adjustRightInd w:val="0"/>
              <w:spacing w:after="0"/>
              <w:rPr>
                <w:rFonts w:eastAsia="DengXian"/>
                <w:color w:val="000000"/>
              </w:rPr>
            </w:pPr>
            <w:r w:rsidRPr="0030273A">
              <w:rPr>
                <w:rFonts w:eastAsia="DengXian"/>
                <w:color w:val="000000"/>
              </w:rPr>
              <w:t>Enhancement pattern</w:t>
            </w:r>
          </w:p>
        </w:tc>
        <w:tc>
          <w:tcPr>
            <w:tcW w:w="6469" w:type="dxa"/>
            <w:tcBorders>
              <w:top w:val="single" w:sz="4" w:space="0" w:color="auto"/>
              <w:left w:val="nil"/>
              <w:bottom w:val="single" w:sz="4" w:space="0" w:color="auto"/>
              <w:right w:val="nil"/>
            </w:tcBorders>
            <w:shd w:val="clear" w:color="auto" w:fill="auto"/>
            <w:noWrap/>
            <w:vAlign w:val="center"/>
          </w:tcPr>
          <w:p w:rsidR="00837893" w:rsidRPr="0030273A" w:rsidRDefault="00837893" w:rsidP="00F40C0B">
            <w:pPr>
              <w:adjustRightInd w:val="0"/>
              <w:spacing w:after="0"/>
              <w:rPr>
                <w:rFonts w:eastAsia="DengXian"/>
                <w:color w:val="000000"/>
              </w:rPr>
            </w:pPr>
            <w:r w:rsidRPr="0030273A">
              <w:rPr>
                <w:rFonts w:eastAsia="DengXian"/>
                <w:color w:val="000000"/>
              </w:rPr>
              <w:t>typical was defined as "wash in" in AP and "wash out" in PVP and the rest were atypical;</w:t>
            </w:r>
          </w:p>
        </w:tc>
      </w:tr>
      <w:tr w:rsidR="00837893" w:rsidRPr="00241EAA" w:rsidTr="00F40C0B">
        <w:trPr>
          <w:trHeight w:val="552"/>
        </w:trPr>
        <w:tc>
          <w:tcPr>
            <w:tcW w:w="2003" w:type="dxa"/>
            <w:tcBorders>
              <w:top w:val="single" w:sz="4" w:space="0" w:color="auto"/>
              <w:left w:val="nil"/>
              <w:bottom w:val="single" w:sz="12" w:space="0" w:color="auto"/>
              <w:right w:val="nil"/>
            </w:tcBorders>
            <w:shd w:val="clear" w:color="auto" w:fill="auto"/>
            <w:noWrap/>
            <w:vAlign w:val="center"/>
          </w:tcPr>
          <w:p w:rsidR="00837893" w:rsidRPr="0030273A" w:rsidRDefault="00837893" w:rsidP="00F40C0B">
            <w:pPr>
              <w:adjustRightInd w:val="0"/>
              <w:spacing w:after="0"/>
              <w:rPr>
                <w:rFonts w:eastAsia="DengXian"/>
                <w:color w:val="000000"/>
              </w:rPr>
            </w:pPr>
            <w:r w:rsidRPr="0030273A">
              <w:rPr>
                <w:rFonts w:eastAsia="DengXian"/>
                <w:color w:val="000000"/>
              </w:rPr>
              <w:t>Arterial peritumoral enhancement:</w:t>
            </w:r>
          </w:p>
        </w:tc>
        <w:tc>
          <w:tcPr>
            <w:tcW w:w="6469" w:type="dxa"/>
            <w:tcBorders>
              <w:top w:val="single" w:sz="4" w:space="0" w:color="auto"/>
              <w:left w:val="nil"/>
              <w:bottom w:val="single" w:sz="12" w:space="0" w:color="auto"/>
              <w:right w:val="nil"/>
            </w:tcBorders>
            <w:shd w:val="clear" w:color="auto" w:fill="auto"/>
            <w:noWrap/>
            <w:vAlign w:val="center"/>
          </w:tcPr>
          <w:p w:rsidR="00837893" w:rsidRPr="0030273A" w:rsidRDefault="00837893" w:rsidP="00F40C0B">
            <w:pPr>
              <w:adjustRightInd w:val="0"/>
              <w:spacing w:after="0"/>
              <w:rPr>
                <w:rFonts w:eastAsia="DengXian"/>
                <w:color w:val="000000"/>
              </w:rPr>
            </w:pPr>
            <w:r w:rsidRPr="0030273A">
              <w:rPr>
                <w:rFonts w:eastAsia="DengXian"/>
                <w:color w:val="000000"/>
              </w:rPr>
              <w:t>in the late stage of AP or early stage of PVP, the enhanced region was located outside the tumor margin which was in extensive contact with the tumor boundary, and became isointensity during DP</w:t>
            </w:r>
          </w:p>
        </w:tc>
      </w:tr>
    </w:tbl>
    <w:p w:rsidR="00837893" w:rsidRPr="00241EAA" w:rsidRDefault="00837893" w:rsidP="00837893">
      <w:pPr>
        <w:adjustRightInd w:val="0"/>
        <w:spacing w:after="0"/>
        <w:rPr>
          <w:b/>
          <w:bCs/>
        </w:rPr>
      </w:pPr>
      <w:r w:rsidRPr="0030273A">
        <w:rPr>
          <w:b/>
          <w:bCs/>
        </w:rPr>
        <w:t>DWI, diffusion-weighted imaging; PVP, portal venous phase; DP, delayed phase; TP, transitional phase; ADC, apparent diffusion coefficient; APHE, arterial phase hyperenhancement; AP arterial phase.</w:t>
      </w:r>
      <w:r w:rsidRPr="00241EAA">
        <w:rPr>
          <w:b/>
          <w:bCs/>
        </w:rPr>
        <w:t xml:space="preserve">  </w:t>
      </w:r>
    </w:p>
    <w:p w:rsidR="00F503F5" w:rsidRDefault="00F503F5"/>
    <w:sectPr w:rsidR="00F503F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837893"/>
    <w:rsid w:val="00837893"/>
    <w:rsid w:val="00F50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iaotou"/>
    <w:basedOn w:val="Normal"/>
    <w:uiPriority w:val="1"/>
    <w:qFormat/>
    <w:rsid w:val="00837893"/>
    <w:pPr>
      <w:widowControl w:val="0"/>
      <w:spacing w:after="0" w:line="240" w:lineRule="auto"/>
      <w:jc w:val="both"/>
    </w:pPr>
    <w:rPr>
      <w:rFonts w:ascii="Times New Roman" w:eastAsia="DengXian" w:hAnsi="Times New Roman" w:cs="Times New Roman"/>
      <w:b/>
      <w:bCs/>
      <w:color w:val="000000"/>
      <w:sz w:val="21"/>
      <w:szCs w:val="2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2023-12-04T02:08:00Z</dcterms:created>
  <dcterms:modified xsi:type="dcterms:W3CDTF">2023-12-04T02:08:00Z</dcterms:modified>
</cp:coreProperties>
</file>